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Załącznik Nr 2</w:t>
      </w:r>
    </w:p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A86B87" w:rsidRDefault="00A86B87" w:rsidP="00F62FBF">
      <w:pPr>
        <w:spacing w:after="0"/>
        <w:ind w:left="3828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zamówień publicznych w MCDN </w:t>
      </w:r>
    </w:p>
    <w:p w:rsidR="00A86B87" w:rsidRPr="00E675E0" w:rsidRDefault="00A86B87" w:rsidP="00E675E0">
      <w:p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Verdana"/>
          <w:color w:val="000000"/>
          <w:sz w:val="18"/>
          <w:szCs w:val="18"/>
        </w:rPr>
        <w:br/>
      </w:r>
    </w:p>
    <w:p w:rsidR="00A86B87" w:rsidRPr="00FE39E7" w:rsidRDefault="00A86B87" w:rsidP="00F62FBF">
      <w:pPr>
        <w:spacing w:after="0" w:line="240" w:lineRule="atLeast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ROZEZNANIE RYNKU</w:t>
      </w:r>
    </w:p>
    <w:p w:rsidR="00A86B87" w:rsidRPr="00FE39E7" w:rsidRDefault="00A86B87" w:rsidP="00F62FBF">
      <w:pPr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237B56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W ramach procedury rozeznania rynku zapraszamy do składania ofert na przeprowadzenie </w:t>
      </w:r>
      <w:r w:rsidR="00AB4524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zajęć 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muzyczno-ruchowych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dla dzieci w wieku </w:t>
      </w:r>
      <w:r w:rsidR="003F63B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od 5 do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6 lat. 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Celem zajęć jest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kształtowanie poczucia rytmu, wyobraźni muzycznej oraz ekspresji ruchowej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Rozwijanie umiejętności współpracy w grupie oraz wspólna zabawa.</w:t>
      </w:r>
    </w:p>
    <w:p w:rsidR="00A86B87" w:rsidRPr="00FE39E7" w:rsidRDefault="00A86B87" w:rsidP="00F62FBF">
      <w:pPr>
        <w:pStyle w:val="Akapitzlist"/>
        <w:ind w:left="284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Oferta musi zawierać: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datę sporządzenia,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nazwę i adres oferenta, nr NIP, nr telefonu oraz adres email,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czytelny podpis Wykonawcy lub osoby upoważnionej przez niego.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Każdy w Wykonawców może złożyć tylko jedną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odpowiedzi tylko na wybraną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negocjacji warunków zamówienia.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rezygnacji z zamówienia bez podania przyczyny, bez wyboru którejkolwiek ze złożonych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A86B87" w:rsidRPr="00FE39E7" w:rsidRDefault="00A86B87" w:rsidP="00C25236">
      <w:pPr>
        <w:suppressAutoHyphens/>
        <w:spacing w:after="0" w:line="24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C25236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>.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Miejsce i termin składania ofert: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przypadku ofert przesłanych pocztą/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>kurierem lub dostarczonych osobiście oferta powinna być złożona w zamkniętej kopercie z dopiskiem „</w:t>
      </w:r>
      <w:r w:rsidR="00303142">
        <w:rPr>
          <w:rFonts w:ascii="Arial Narrow" w:hAnsi="Arial Narrow" w:cs="Arial Narrow"/>
          <w:b/>
          <w:bCs/>
          <w:color w:val="000000"/>
          <w:sz w:val="20"/>
          <w:szCs w:val="20"/>
        </w:rPr>
        <w:t>Rozeznanie rynku nr BO.271.66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.2019”.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>W przypadku ofert przesłanych pocztą elektroniczną w tytule maila należy wpisać „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Roze</w:t>
      </w:r>
      <w:r w:rsidR="00303142">
        <w:rPr>
          <w:rFonts w:ascii="Arial Narrow" w:hAnsi="Arial Narrow" w:cs="Arial Narrow"/>
          <w:b/>
          <w:bCs/>
          <w:color w:val="000000"/>
          <w:sz w:val="20"/>
          <w:szCs w:val="20"/>
        </w:rPr>
        <w:t>znanie rynku nr BO.271.66</w:t>
      </w:r>
      <w:r w:rsidR="00D770B2">
        <w:rPr>
          <w:rFonts w:ascii="Arial Narrow" w:hAnsi="Arial Narrow" w:cs="Arial Narrow"/>
          <w:b/>
          <w:bCs/>
          <w:color w:val="000000"/>
          <w:sz w:val="20"/>
          <w:szCs w:val="20"/>
        </w:rPr>
        <w:t>.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2019”,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Termin składania ofert upływa dnia </w:t>
      </w:r>
      <w:r w:rsidR="0030314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>19</w:t>
      </w:r>
      <w:r w:rsidR="00D770B2" w:rsidRPr="00D770B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 xml:space="preserve"> </w:t>
      </w:r>
      <w:r w:rsidR="006B5B6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>września</w:t>
      </w:r>
      <w:r w:rsidRPr="00D770B2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 xml:space="preserve"> 2019 roku</w:t>
      </w:r>
      <w:r w:rsidR="00303142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>, do godz. 12:00</w:t>
      </w:r>
      <w:bookmarkStart w:id="0" w:name="_GoBack"/>
      <w:bookmarkEnd w:id="0"/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Kryteria oceny ofert:</w:t>
      </w:r>
    </w:p>
    <w:p w:rsidR="00A86B87" w:rsidRPr="00FE39E7" w:rsidRDefault="00A86B87" w:rsidP="00F62FBF">
      <w:pPr>
        <w:pStyle w:val="Akapitzlist"/>
        <w:ind w:left="426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dokona oceny ważnych ofert na podstawie jednego kryterium, którym będzie cena [w PLN] – znaczenie 100%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lastRenderedPageBreak/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załączeniu: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opis przedmiotu zamówienia w tym gwarancja i inne wymagania dotyczące realizacji zamówienia,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kryteria oceny ofert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formularz wyceny/ tabela kosztów,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  <w:vertAlign w:val="subscript"/>
        </w:rPr>
      </w:pPr>
      <w:r w:rsidRPr="00FE39E7">
        <w:rPr>
          <w:rFonts w:ascii="Arial Narrow" w:hAnsi="Arial Narrow" w:cs="Arial Narrow"/>
          <w:sz w:val="20"/>
          <w:szCs w:val="20"/>
          <w:vertAlign w:val="subscript"/>
        </w:rPr>
        <w:t>……………………………………….……………….……....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 xml:space="preserve"> (podpis pracownika MCDN /MCDN ODN zajmującego 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>się realizacją procedury wyboru wykonawcy)</w:t>
      </w:r>
    </w:p>
    <w:p w:rsidR="00A86B87" w:rsidRPr="00FE39E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*właściwe zastosować</w:t>
      </w:r>
    </w:p>
    <w:p w:rsidR="00A86B8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** doprecyzować, jeżeli będą dodatkowe kryteria</w:t>
      </w:r>
    </w:p>
    <w:p w:rsidR="00A86B87" w:rsidRPr="00FE39E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sectPr w:rsidR="00A86B87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A2" w:rsidRDefault="001E43A2" w:rsidP="00DE5732">
      <w:pPr>
        <w:spacing w:after="0" w:line="240" w:lineRule="auto"/>
      </w:pPr>
      <w:r>
        <w:separator/>
      </w:r>
    </w:p>
  </w:endnote>
  <w:endnote w:type="continuationSeparator" w:id="0">
    <w:p w:rsidR="001E43A2" w:rsidRDefault="001E43A2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A2" w:rsidRDefault="001E43A2" w:rsidP="00DE5732">
      <w:pPr>
        <w:spacing w:after="0" w:line="240" w:lineRule="auto"/>
      </w:pPr>
      <w:r>
        <w:separator/>
      </w:r>
    </w:p>
  </w:footnote>
  <w:footnote w:type="continuationSeparator" w:id="0">
    <w:p w:rsidR="001E43A2" w:rsidRDefault="001E43A2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62724"/>
    <w:multiLevelType w:val="hybridMultilevel"/>
    <w:tmpl w:val="B2CCE870"/>
    <w:lvl w:ilvl="0" w:tplc="E690C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7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6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934E0"/>
    <w:rsid w:val="00195318"/>
    <w:rsid w:val="001B1311"/>
    <w:rsid w:val="001B1DDB"/>
    <w:rsid w:val="001B44EC"/>
    <w:rsid w:val="001D05E9"/>
    <w:rsid w:val="001D341D"/>
    <w:rsid w:val="001D5344"/>
    <w:rsid w:val="001E0FF5"/>
    <w:rsid w:val="001E43A2"/>
    <w:rsid w:val="001F357A"/>
    <w:rsid w:val="001F38B6"/>
    <w:rsid w:val="00214B96"/>
    <w:rsid w:val="00224ECA"/>
    <w:rsid w:val="00226741"/>
    <w:rsid w:val="00227B97"/>
    <w:rsid w:val="00227D12"/>
    <w:rsid w:val="00237B56"/>
    <w:rsid w:val="00240CF7"/>
    <w:rsid w:val="00240E22"/>
    <w:rsid w:val="00263687"/>
    <w:rsid w:val="00265229"/>
    <w:rsid w:val="002743EB"/>
    <w:rsid w:val="00282ACB"/>
    <w:rsid w:val="00293999"/>
    <w:rsid w:val="00297803"/>
    <w:rsid w:val="002A6FF4"/>
    <w:rsid w:val="002C79AC"/>
    <w:rsid w:val="002E027D"/>
    <w:rsid w:val="002E40F2"/>
    <w:rsid w:val="002F2137"/>
    <w:rsid w:val="00301752"/>
    <w:rsid w:val="00303142"/>
    <w:rsid w:val="003154EE"/>
    <w:rsid w:val="00316575"/>
    <w:rsid w:val="003334F9"/>
    <w:rsid w:val="00341700"/>
    <w:rsid w:val="00344D59"/>
    <w:rsid w:val="00352F7D"/>
    <w:rsid w:val="003603DF"/>
    <w:rsid w:val="00361FBE"/>
    <w:rsid w:val="003630D7"/>
    <w:rsid w:val="003714F3"/>
    <w:rsid w:val="003764CF"/>
    <w:rsid w:val="003875A4"/>
    <w:rsid w:val="003920B3"/>
    <w:rsid w:val="003A6ACB"/>
    <w:rsid w:val="003B1AC2"/>
    <w:rsid w:val="003B6E08"/>
    <w:rsid w:val="003B7611"/>
    <w:rsid w:val="003C1509"/>
    <w:rsid w:val="003D358A"/>
    <w:rsid w:val="003E4443"/>
    <w:rsid w:val="003E5BD8"/>
    <w:rsid w:val="003F63B0"/>
    <w:rsid w:val="004304ED"/>
    <w:rsid w:val="0043360B"/>
    <w:rsid w:val="00435057"/>
    <w:rsid w:val="00436257"/>
    <w:rsid w:val="0046372E"/>
    <w:rsid w:val="00467A8F"/>
    <w:rsid w:val="004759C5"/>
    <w:rsid w:val="004849EC"/>
    <w:rsid w:val="00490E22"/>
    <w:rsid w:val="004A04DE"/>
    <w:rsid w:val="004A1173"/>
    <w:rsid w:val="004B380D"/>
    <w:rsid w:val="004C1635"/>
    <w:rsid w:val="004D5A87"/>
    <w:rsid w:val="004E4849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B5B62"/>
    <w:rsid w:val="006C1370"/>
    <w:rsid w:val="006C34B1"/>
    <w:rsid w:val="006E21BB"/>
    <w:rsid w:val="006E6512"/>
    <w:rsid w:val="006E7726"/>
    <w:rsid w:val="00702F1B"/>
    <w:rsid w:val="00703957"/>
    <w:rsid w:val="00703EDC"/>
    <w:rsid w:val="0071512C"/>
    <w:rsid w:val="00722784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875F6"/>
    <w:rsid w:val="00792E14"/>
    <w:rsid w:val="007B32ED"/>
    <w:rsid w:val="007B758E"/>
    <w:rsid w:val="007C34E8"/>
    <w:rsid w:val="007C688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646F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5AE5"/>
    <w:rsid w:val="008E601A"/>
    <w:rsid w:val="008F100C"/>
    <w:rsid w:val="00900B0F"/>
    <w:rsid w:val="00901788"/>
    <w:rsid w:val="00914712"/>
    <w:rsid w:val="00915652"/>
    <w:rsid w:val="009301D3"/>
    <w:rsid w:val="00934483"/>
    <w:rsid w:val="00941D47"/>
    <w:rsid w:val="00942A5A"/>
    <w:rsid w:val="00950C10"/>
    <w:rsid w:val="00952595"/>
    <w:rsid w:val="009545F2"/>
    <w:rsid w:val="00962644"/>
    <w:rsid w:val="00967ADE"/>
    <w:rsid w:val="00976935"/>
    <w:rsid w:val="00984AF9"/>
    <w:rsid w:val="00994255"/>
    <w:rsid w:val="00996B54"/>
    <w:rsid w:val="009A2028"/>
    <w:rsid w:val="009A25CE"/>
    <w:rsid w:val="009A283B"/>
    <w:rsid w:val="009D7B41"/>
    <w:rsid w:val="009E2029"/>
    <w:rsid w:val="009E2900"/>
    <w:rsid w:val="009E5034"/>
    <w:rsid w:val="00A00363"/>
    <w:rsid w:val="00A0062E"/>
    <w:rsid w:val="00A1588C"/>
    <w:rsid w:val="00A165BC"/>
    <w:rsid w:val="00A175AA"/>
    <w:rsid w:val="00A20692"/>
    <w:rsid w:val="00A33AEE"/>
    <w:rsid w:val="00A42B53"/>
    <w:rsid w:val="00A51E11"/>
    <w:rsid w:val="00A54DB3"/>
    <w:rsid w:val="00A64D1E"/>
    <w:rsid w:val="00A66F9C"/>
    <w:rsid w:val="00A80B01"/>
    <w:rsid w:val="00A86B87"/>
    <w:rsid w:val="00A947CF"/>
    <w:rsid w:val="00AA0C95"/>
    <w:rsid w:val="00AB1B5F"/>
    <w:rsid w:val="00AB4524"/>
    <w:rsid w:val="00AC26C1"/>
    <w:rsid w:val="00AD4EF5"/>
    <w:rsid w:val="00AD7806"/>
    <w:rsid w:val="00AE3859"/>
    <w:rsid w:val="00AE4BA0"/>
    <w:rsid w:val="00AE5F81"/>
    <w:rsid w:val="00AF5DD2"/>
    <w:rsid w:val="00B05047"/>
    <w:rsid w:val="00B16DBE"/>
    <w:rsid w:val="00B17BD1"/>
    <w:rsid w:val="00B20563"/>
    <w:rsid w:val="00B30E76"/>
    <w:rsid w:val="00B30ED3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0A30"/>
    <w:rsid w:val="00C01D46"/>
    <w:rsid w:val="00C06F15"/>
    <w:rsid w:val="00C10FD6"/>
    <w:rsid w:val="00C120F0"/>
    <w:rsid w:val="00C21E4E"/>
    <w:rsid w:val="00C2338F"/>
    <w:rsid w:val="00C25236"/>
    <w:rsid w:val="00C400AC"/>
    <w:rsid w:val="00C432C7"/>
    <w:rsid w:val="00C62B89"/>
    <w:rsid w:val="00C71660"/>
    <w:rsid w:val="00C7442D"/>
    <w:rsid w:val="00C76C8D"/>
    <w:rsid w:val="00C83EFA"/>
    <w:rsid w:val="00C84294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205B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F3C"/>
    <w:rsid w:val="00D63096"/>
    <w:rsid w:val="00D64FF8"/>
    <w:rsid w:val="00D73B6F"/>
    <w:rsid w:val="00D770B2"/>
    <w:rsid w:val="00D92087"/>
    <w:rsid w:val="00D942C9"/>
    <w:rsid w:val="00DA2286"/>
    <w:rsid w:val="00DA6B32"/>
    <w:rsid w:val="00DB05E3"/>
    <w:rsid w:val="00DC168E"/>
    <w:rsid w:val="00DC1A5C"/>
    <w:rsid w:val="00DC4AD2"/>
    <w:rsid w:val="00DC53B5"/>
    <w:rsid w:val="00DD036E"/>
    <w:rsid w:val="00DD7984"/>
    <w:rsid w:val="00DE1A3F"/>
    <w:rsid w:val="00DE47CD"/>
    <w:rsid w:val="00DE5732"/>
    <w:rsid w:val="00DE6550"/>
    <w:rsid w:val="00DF3B05"/>
    <w:rsid w:val="00E1090E"/>
    <w:rsid w:val="00E1303E"/>
    <w:rsid w:val="00E14B8A"/>
    <w:rsid w:val="00E17204"/>
    <w:rsid w:val="00E17404"/>
    <w:rsid w:val="00E17A52"/>
    <w:rsid w:val="00E253FF"/>
    <w:rsid w:val="00E26F7C"/>
    <w:rsid w:val="00E37A47"/>
    <w:rsid w:val="00E40078"/>
    <w:rsid w:val="00E45E59"/>
    <w:rsid w:val="00E64EBB"/>
    <w:rsid w:val="00E66AE6"/>
    <w:rsid w:val="00E675E0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7BB8"/>
    <w:rsid w:val="00FC55D3"/>
    <w:rsid w:val="00FE39E7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C007-9F68-4FC8-8CDE-405CB02F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1D46"/>
    <w:pPr>
      <w:keepNext/>
      <w:keepLines/>
      <w:spacing w:before="240" w:after="0" w:line="259" w:lineRule="auto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1D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01D46"/>
    <w:rPr>
      <w:rFonts w:ascii="Cambria" w:hAnsi="Cambria" w:cs="Cambria"/>
      <w:color w:val="365F91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sid w:val="00C01D46"/>
    <w:rPr>
      <w:rFonts w:ascii="Calibri" w:hAnsi="Calibri" w:cs="Calibri"/>
      <w:b/>
      <w:bCs/>
      <w:sz w:val="28"/>
      <w:szCs w:val="28"/>
    </w:rPr>
  </w:style>
  <w:style w:type="paragraph" w:customStyle="1" w:styleId="ZnakZnak16ZnakZnakZnakZnak">
    <w:name w:val="Znak Znak16 Znak Znak Znak Znak"/>
    <w:basedOn w:val="Normalny"/>
    <w:uiPriority w:val="99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577CFC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33A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6E21BB"/>
    <w:rPr>
      <w:rFonts w:ascii="Times New Roman" w:eastAsia="SimSu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E5732"/>
    <w:rPr>
      <w:sz w:val="20"/>
      <w:szCs w:val="20"/>
    </w:rPr>
  </w:style>
  <w:style w:type="character" w:styleId="Odwoanieprzypisudolnego">
    <w:name w:val="footnote reference"/>
    <w:uiPriority w:val="99"/>
    <w:semiHidden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uiPriority w:val="99"/>
    <w:rsid w:val="00BC2F1B"/>
    <w:pPr>
      <w:suppressAutoHyphens/>
      <w:autoSpaceDN w:val="0"/>
      <w:textAlignment w:val="baseline"/>
    </w:pPr>
    <w:rPr>
      <w:rFonts w:ascii="Liberation Serif" w:eastAsia="SimSun" w:hAnsi="Liberation Serif" w:cs="Liberation Serif"/>
      <w:color w:val="00000A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65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A64D1E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64D1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1D46"/>
    <w:rPr>
      <w:color w:val="0000FF"/>
      <w:u w:val="single"/>
    </w:rPr>
  </w:style>
  <w:style w:type="paragraph" w:styleId="NormalnyWeb">
    <w:name w:val="Normal (Web)"/>
    <w:basedOn w:val="Normalny"/>
    <w:uiPriority w:val="99"/>
    <w:rsid w:val="00D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Mariusz</dc:creator>
  <cp:keywords/>
  <dc:description/>
  <cp:lastModifiedBy>Mariusz Gdowski</cp:lastModifiedBy>
  <cp:revision>10</cp:revision>
  <cp:lastPrinted>2019-04-01T06:09:00Z</cp:lastPrinted>
  <dcterms:created xsi:type="dcterms:W3CDTF">2019-04-08T07:46:00Z</dcterms:created>
  <dcterms:modified xsi:type="dcterms:W3CDTF">2019-09-16T10:53:00Z</dcterms:modified>
</cp:coreProperties>
</file>