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B84290" w:rsidRDefault="003E2FE8" w:rsidP="00346920">
      <w:pPr>
        <w:spacing w:line="276" w:lineRule="auto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>Załącznik nr 2</w:t>
      </w:r>
      <w:bookmarkStart w:id="0" w:name="_GoBack"/>
      <w:bookmarkEnd w:id="0"/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</w:t>
      </w:r>
      <w:r w:rsidR="00B84290">
        <w:rPr>
          <w:rFonts w:ascii="Arial Narrow" w:eastAsia="Arial" w:hAnsi="Arial Narrow" w:cstheme="minorHAnsi"/>
          <w:color w:val="000000"/>
          <w:sz w:val="20"/>
          <w:szCs w:val="20"/>
        </w:rPr>
        <w:t>…..</w:t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…………………….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proofErr w:type="gramStart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Dane Oferenta</w:t>
      </w:r>
      <w:proofErr w:type="gramEnd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: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 xml:space="preserve">Klauzula informacyjna- w przypadku </w:t>
      </w:r>
      <w:proofErr w:type="gramStart"/>
      <w:r w:rsidRPr="00B7334A">
        <w:rPr>
          <w:rFonts w:ascii="Arial Narrow" w:hAnsi="Arial Narrow"/>
          <w:b/>
          <w:sz w:val="20"/>
          <w:szCs w:val="20"/>
        </w:rPr>
        <w:t>pozyskiwania danych</w:t>
      </w:r>
      <w:proofErr w:type="gramEnd"/>
      <w:r w:rsidRPr="00B7334A">
        <w:rPr>
          <w:rFonts w:ascii="Arial Narrow" w:hAnsi="Arial Narrow"/>
          <w:b/>
          <w:sz w:val="20"/>
          <w:szCs w:val="20"/>
        </w:rPr>
        <w:t xml:space="preserve">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</w:t>
      </w:r>
      <w:proofErr w:type="gramStart"/>
      <w:r w:rsidRPr="00B7334A">
        <w:rPr>
          <w:rFonts w:ascii="Arial Narrow" w:hAnsi="Arial Narrow"/>
          <w:sz w:val="20"/>
          <w:szCs w:val="20"/>
        </w:rPr>
        <w:t>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r. w sprawie ochrony osób fizycznych w związku z przetwarzaniem danych </w:t>
      </w:r>
      <w:proofErr w:type="gramStart"/>
      <w:r w:rsidRPr="00B7334A">
        <w:rPr>
          <w:rFonts w:ascii="Arial Narrow" w:hAnsi="Arial Narrow"/>
          <w:sz w:val="20"/>
          <w:szCs w:val="20"/>
        </w:rPr>
        <w:t>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Informacje podawane w przypadku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pozyskiwania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>pejskiego i Rady (</w:t>
      </w:r>
      <w:proofErr w:type="gramStart"/>
      <w:r w:rsidR="00B84290">
        <w:rPr>
          <w:rFonts w:ascii="Arial Narrow" w:hAnsi="Arial Narrow"/>
          <w:sz w:val="20"/>
          <w:szCs w:val="20"/>
        </w:rPr>
        <w:t xml:space="preserve">UE) 2016/679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</w:t>
      </w:r>
      <w:proofErr w:type="gramStart"/>
      <w:r w:rsidRPr="00B7334A">
        <w:rPr>
          <w:rFonts w:ascii="Arial Narrow" w:hAnsi="Arial Narrow"/>
          <w:sz w:val="20"/>
          <w:szCs w:val="20"/>
        </w:rPr>
        <w:t>r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Administrator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II. Inspektor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Ochrony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>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MCDN, Małopolskie Centrum Doskonalenia Nauczycieli, ul. Lubelska 23, 30-0103 Kraków; </w:t>
      </w:r>
      <w:proofErr w:type="gramStart"/>
      <w:r w:rsidRPr="00B7334A">
        <w:rPr>
          <w:rFonts w:ascii="Arial Narrow" w:hAnsi="Arial Narrow"/>
          <w:sz w:val="20"/>
          <w:szCs w:val="20"/>
        </w:rPr>
        <w:t>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</w:t>
      </w:r>
      <w:proofErr w:type="gramEnd"/>
      <w:r w:rsidRPr="00B7334A">
        <w:rPr>
          <w:rFonts w:ascii="Arial Narrow" w:hAnsi="Arial Narrow"/>
          <w:sz w:val="20"/>
          <w:szCs w:val="20"/>
        </w:rPr>
        <w:t>@mcdn.</w:t>
      </w:r>
      <w:proofErr w:type="gramStart"/>
      <w:r w:rsidRPr="00B7334A">
        <w:rPr>
          <w:rFonts w:ascii="Arial Narrow" w:hAnsi="Arial Narrow"/>
          <w:sz w:val="20"/>
          <w:szCs w:val="20"/>
        </w:rPr>
        <w:t>edu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  <w:proofErr w:type="gramStart"/>
      <w:r w:rsidRPr="00B7334A">
        <w:rPr>
          <w:rFonts w:ascii="Arial Narrow" w:hAnsi="Arial Narrow"/>
          <w:sz w:val="20"/>
          <w:szCs w:val="20"/>
        </w:rPr>
        <w:t>pl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dane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proofErr w:type="gramStart"/>
      <w:r w:rsidRPr="00B7334A">
        <w:rPr>
          <w:rFonts w:ascii="Arial Narrow" w:hAnsi="Arial Narrow"/>
          <w:sz w:val="20"/>
          <w:szCs w:val="20"/>
        </w:rPr>
        <w:t>zamówienia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IV. Okres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przechowywania danych</w:t>
      </w:r>
      <w:proofErr w:type="gramEnd"/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publicznych i zgodny </w:t>
      </w:r>
      <w:r w:rsidR="007D4BA8">
        <w:rPr>
          <w:rFonts w:ascii="Arial Narrow" w:hAnsi="Arial Narrow"/>
          <w:sz w:val="20"/>
          <w:szCs w:val="20"/>
        </w:rPr>
        <w:br/>
      </w:r>
      <w:r w:rsidRPr="00B7334A">
        <w:rPr>
          <w:rFonts w:ascii="Arial Narrow" w:hAnsi="Arial Narrow"/>
          <w:sz w:val="20"/>
          <w:szCs w:val="20"/>
        </w:rPr>
        <w:t>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V.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Kategorie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danych</w:t>
      </w:r>
      <w:proofErr w:type="gramEnd"/>
      <w:r w:rsidRPr="00B7334A">
        <w:rPr>
          <w:rFonts w:ascii="Arial Narrow" w:hAnsi="Arial Narrow"/>
          <w:sz w:val="20"/>
          <w:szCs w:val="20"/>
        </w:rPr>
        <w:t>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ofercie - imię </w:t>
      </w:r>
      <w:r w:rsidR="007D4BA8">
        <w:rPr>
          <w:rFonts w:ascii="Arial Narrow" w:hAnsi="Arial Narrow"/>
          <w:sz w:val="20"/>
          <w:szCs w:val="20"/>
        </w:rPr>
        <w:br/>
      </w:r>
      <w:r w:rsidRPr="00B7334A">
        <w:rPr>
          <w:rFonts w:ascii="Arial Narrow" w:hAnsi="Arial Narrow"/>
          <w:sz w:val="20"/>
          <w:szCs w:val="20"/>
        </w:rPr>
        <w:t>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na podstawie art. 15 RODO prawo dostępu do danych </w:t>
      </w:r>
      <w:proofErr w:type="gramStart"/>
      <w:r w:rsidRPr="00B7334A">
        <w:rPr>
          <w:rFonts w:ascii="Arial Narrow" w:hAnsi="Arial Narrow"/>
          <w:sz w:val="20"/>
          <w:szCs w:val="20"/>
        </w:rPr>
        <w:t>osobowych Pani</w:t>
      </w:r>
      <w:proofErr w:type="gramEnd"/>
      <w:r w:rsidRPr="00B7334A">
        <w:rPr>
          <w:rFonts w:ascii="Arial Narrow" w:hAnsi="Arial Narrow"/>
          <w:sz w:val="20"/>
          <w:szCs w:val="20"/>
        </w:rPr>
        <w:t>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</w:t>
      </w:r>
      <w:proofErr w:type="gramStart"/>
      <w:r w:rsidRPr="00B7334A">
        <w:rPr>
          <w:rFonts w:ascii="Arial Narrow" w:hAnsi="Arial Narrow"/>
          <w:sz w:val="20"/>
          <w:szCs w:val="20"/>
        </w:rPr>
        <w:t>Pana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prawo do wniesienia skargi do Prezesa Urzędu </w:t>
      </w:r>
      <w:proofErr w:type="gramStart"/>
      <w:r w:rsidRPr="00B7334A">
        <w:rPr>
          <w:rFonts w:ascii="Arial Narrow" w:hAnsi="Arial Narrow"/>
          <w:sz w:val="20"/>
          <w:szCs w:val="20"/>
        </w:rPr>
        <w:t>Ochrony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proofErr w:type="gramStart"/>
      <w:r w:rsidRPr="00B7334A">
        <w:rPr>
          <w:rFonts w:ascii="Arial Narrow" w:hAnsi="Arial Narrow"/>
          <w:sz w:val="20"/>
          <w:szCs w:val="20"/>
        </w:rPr>
        <w:t>Ochrony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VIII.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Odbiorcy danych</w:t>
      </w:r>
      <w:proofErr w:type="gramEnd"/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</w:t>
      </w:r>
      <w:proofErr w:type="gramStart"/>
      <w:r w:rsidRPr="00B7334A">
        <w:rPr>
          <w:rFonts w:ascii="Arial Narrow" w:hAnsi="Arial Narrow"/>
          <w:sz w:val="20"/>
          <w:szCs w:val="20"/>
        </w:rPr>
        <w:t>Pana dane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IX.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Źródło danych</w:t>
      </w:r>
      <w:proofErr w:type="gramEnd"/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</w:t>
      </w:r>
      <w:proofErr w:type="gramStart"/>
      <w:r w:rsidRPr="00B7334A">
        <w:rPr>
          <w:rFonts w:ascii="Arial Narrow" w:hAnsi="Arial Narrow"/>
          <w:sz w:val="20"/>
          <w:szCs w:val="20"/>
        </w:rPr>
        <w:t>Pana dane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osobowe pochodzą od Wykonawcy.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 xml:space="preserve">X. Informacja dotycząca zautomatyzowanego </w:t>
      </w:r>
      <w:proofErr w:type="gramStart"/>
      <w:r w:rsidRPr="00B7334A">
        <w:rPr>
          <w:rFonts w:ascii="Arial Narrow" w:hAnsi="Arial Narrow"/>
          <w:b/>
          <w:sz w:val="20"/>
          <w:szCs w:val="20"/>
          <w:u w:val="single"/>
        </w:rPr>
        <w:t>przetwarzania danych</w:t>
      </w:r>
      <w:proofErr w:type="gramEnd"/>
      <w:r w:rsidRPr="00B7334A">
        <w:rPr>
          <w:rFonts w:ascii="Arial Narrow" w:hAnsi="Arial Narrow"/>
          <w:b/>
          <w:sz w:val="20"/>
          <w:szCs w:val="20"/>
          <w:u w:val="single"/>
        </w:rPr>
        <w:t xml:space="preserve">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w związku z art. 17 ust. 3 lit. b, d lub e RODO prawo do </w:t>
      </w:r>
      <w:proofErr w:type="gramStart"/>
      <w:r w:rsidRPr="00B7334A">
        <w:rPr>
          <w:rFonts w:ascii="Arial Narrow" w:hAnsi="Arial Narrow"/>
          <w:sz w:val="20"/>
          <w:szCs w:val="20"/>
        </w:rPr>
        <w:t>usunięcia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prawo do </w:t>
      </w:r>
      <w:proofErr w:type="gramStart"/>
      <w:r w:rsidRPr="00B7334A">
        <w:rPr>
          <w:rFonts w:ascii="Arial Narrow" w:hAnsi="Arial Narrow"/>
          <w:sz w:val="20"/>
          <w:szCs w:val="20"/>
        </w:rPr>
        <w:t>przenoszenia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− na podstawie art. 21 RODO prawo sprzeciwu, wobec </w:t>
      </w:r>
      <w:proofErr w:type="gramStart"/>
      <w:r w:rsidRPr="00B7334A">
        <w:rPr>
          <w:rFonts w:ascii="Arial Narrow" w:hAnsi="Arial Narrow"/>
          <w:sz w:val="20"/>
          <w:szCs w:val="20"/>
        </w:rPr>
        <w:t>przetwarzania 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gdyż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RODO.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administratora lub podmiotu przetwarzającego istnieje obowiązek wyznaczenia inspektora </w:t>
      </w:r>
      <w:proofErr w:type="gramStart"/>
      <w:r w:rsidRPr="0091291F">
        <w:rPr>
          <w:rFonts w:ascii="Arial Narrow" w:hAnsi="Arial Narrow"/>
          <w:i/>
          <w:sz w:val="18"/>
          <w:szCs w:val="18"/>
        </w:rPr>
        <w:t>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</w:t>
      </w:r>
      <w:proofErr w:type="gramEnd"/>
      <w:r w:rsidRPr="0091291F">
        <w:rPr>
          <w:rFonts w:ascii="Arial Narrow" w:hAnsi="Arial Narrow"/>
          <w:i/>
          <w:sz w:val="18"/>
          <w:szCs w:val="18"/>
        </w:rPr>
        <w:t xml:space="preserve">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proofErr w:type="gramStart"/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proofErr w:type="gramEnd"/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integralności protokołu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</w:p>
    <w:p w:rsidR="00B7334A" w:rsidRPr="0091291F" w:rsidRDefault="00B7334A" w:rsidP="00B7334A">
      <w:pPr>
        <w:rPr>
          <w:rFonts w:ascii="Arial Narrow" w:hAnsi="Arial Narrow"/>
          <w:sz w:val="18"/>
          <w:szCs w:val="18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sectPr w:rsidR="00B7334A" w:rsidRPr="00B7334A" w:rsidSect="0039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F5B" w:rsidRDefault="00763F5B" w:rsidP="00346920">
      <w:r>
        <w:separator/>
      </w:r>
    </w:p>
  </w:endnote>
  <w:endnote w:type="continuationSeparator" w:id="0">
    <w:p w:rsidR="00763F5B" w:rsidRDefault="00763F5B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F5B" w:rsidRDefault="00763F5B" w:rsidP="00346920">
      <w:r>
        <w:separator/>
      </w:r>
    </w:p>
  </w:footnote>
  <w:footnote w:type="continuationSeparator" w:id="0">
    <w:p w:rsidR="00763F5B" w:rsidRDefault="00763F5B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22544A"/>
    <w:rsid w:val="002F5C9C"/>
    <w:rsid w:val="00346920"/>
    <w:rsid w:val="003758BF"/>
    <w:rsid w:val="00390F69"/>
    <w:rsid w:val="003E2FE8"/>
    <w:rsid w:val="004F5740"/>
    <w:rsid w:val="005F3DC8"/>
    <w:rsid w:val="00763F5B"/>
    <w:rsid w:val="007D4BA8"/>
    <w:rsid w:val="0088390E"/>
    <w:rsid w:val="0091291F"/>
    <w:rsid w:val="009C4417"/>
    <w:rsid w:val="00B7334A"/>
    <w:rsid w:val="00B84290"/>
    <w:rsid w:val="00BA6D9F"/>
    <w:rsid w:val="00CC0889"/>
    <w:rsid w:val="00E20E63"/>
    <w:rsid w:val="00E3172C"/>
    <w:rsid w:val="00E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11</cp:revision>
  <dcterms:created xsi:type="dcterms:W3CDTF">2019-04-09T11:01:00Z</dcterms:created>
  <dcterms:modified xsi:type="dcterms:W3CDTF">2019-09-25T09:01:00Z</dcterms:modified>
</cp:coreProperties>
</file>