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D" w:rsidRPr="00812D0E" w:rsidRDefault="0063430D" w:rsidP="0063430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4"/>
          <w:szCs w:val="24"/>
        </w:rPr>
      </w:pPr>
      <w:r w:rsidRPr="00812D0E">
        <w:rPr>
          <w:rFonts w:ascii="Arial Narrow" w:hAnsi="Arial Narrow"/>
          <w:sz w:val="24"/>
          <w:szCs w:val="24"/>
        </w:rPr>
        <w:t>Załącznik nr 5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 do Regulaminu udzielania zamówień publicznych w MCDN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:rsidR="0063430D" w:rsidRPr="00812D0E" w:rsidRDefault="0063430D" w:rsidP="0063430D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 Małopolskie Centrum Doskonalenia Nauczycieli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korespondencji: ul. Lubelska 23, 30-003 Kraków</w:t>
      </w:r>
    </w:p>
    <w:p w:rsidR="0063430D" w:rsidRPr="00812D0E" w:rsidRDefault="0063430D" w:rsidP="0063430D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telefon: 12 61 71 100 e-mail: </w:t>
      </w:r>
      <w:hyperlink r:id="rId5" w:history="1">
        <w:r w:rsidRPr="00812D0E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biuro@mcdn.edu.pl</w:t>
        </w:r>
      </w:hyperlink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7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9C116D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</w:p>
    <w:p w:rsidR="009C116D" w:rsidRPr="00812D0E" w:rsidRDefault="009C116D" w:rsidP="009C116D">
      <w:pPr>
        <w:keepNext/>
        <w:keepLines/>
        <w:spacing w:after="5"/>
        <w:ind w:left="-104"/>
        <w:outlineLvl w:val="1"/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 xml:space="preserve">Przedmiotem zamówienia jest zakup 4 robotów edukacyjnych </w:t>
      </w:r>
      <w:proofErr w:type="spellStart"/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ABLIX</w:t>
      </w:r>
      <w:proofErr w:type="spellEnd"/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 xml:space="preserve"> Krypton 8. Zakup dotyczy projektu „Koduję swoją przyszłość”.</w:t>
      </w:r>
    </w:p>
    <w:p w:rsidR="0063430D" w:rsidRPr="00812D0E" w:rsidRDefault="0063430D" w:rsidP="0063430D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Cs w:val="24"/>
          <w:lang w:eastAsia="pl-PL"/>
        </w:rPr>
        <w:t xml:space="preserve">(wskazać nazwę przedmiotu zamówienia) </w:t>
      </w:r>
    </w:p>
    <w:p w:rsidR="0063430D" w:rsidRPr="00812D0E" w:rsidRDefault="0063430D" w:rsidP="0063430D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812D0E" w:rsidRPr="00812D0E" w:rsidRDefault="00812D0E" w:rsidP="00812D0E">
      <w:pPr>
        <w:pStyle w:val="Default"/>
        <w:tabs>
          <w:tab w:val="left" w:pos="284"/>
        </w:tabs>
        <w:spacing w:after="59"/>
        <w:jc w:val="both"/>
        <w:rPr>
          <w:rFonts w:ascii="Arial Narrow" w:hAnsi="Arial Narrow" w:cs="Arial"/>
          <w:color w:val="auto"/>
        </w:rPr>
      </w:pPr>
      <w:r w:rsidRPr="00812D0E">
        <w:rPr>
          <w:rFonts w:ascii="Arial Narrow" w:eastAsia="Times New Roman" w:hAnsi="Arial Narrow" w:cs="Arial"/>
          <w:bCs/>
          <w:color w:val="222222"/>
          <w:lang w:eastAsia="pl-PL"/>
        </w:rPr>
        <w:t>Zawartość każdego z zestawów:</w:t>
      </w:r>
    </w:p>
    <w:p w:rsidR="00812D0E" w:rsidRPr="00812D0E" w:rsidRDefault="00812D0E" w:rsidP="00812D0E">
      <w:pPr>
        <w:spacing w:after="0" w:line="240" w:lineRule="auto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Każdy z 4 zestawów składa się z następujących elementów: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1122 klocków,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21 sensorów, w tym: </w:t>
      </w:r>
      <w:r w:rsidRPr="00812D0E">
        <w:rPr>
          <w:rFonts w:ascii="Arial Narrow" w:hAnsi="Arial Narrow" w:cs="Arial"/>
          <w:color w:val="111111"/>
          <w:sz w:val="24"/>
          <w:szCs w:val="24"/>
        </w:rPr>
        <w:t xml:space="preserve">Rodzaje: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5x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detekcja pozycji (wew. silników),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7x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skali szarości (podczerwieni),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2x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dotykowy (kolizji),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2x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odległości (ultradźwiękowy), koloru, kamera oraz czujniki wbudowane - żyroskop, kompas, mikrofon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5 silników napędowych; 2 dużych i 3 małych, 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Pakietu edukacyjnego w postaci 50 gotowych projektów do samodzielnego złożenia przez ucznia, 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Wbudowany żyroskop, LED, kompas, mikrofon, głośnik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Ekran sterujący: dotykowy, kolorowy 1.5"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 xml:space="preserve">Zasilanie: akumulator 1500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mAh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wraz z ładowarką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Procesor: 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ARM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1.3 GHz</w:t>
      </w:r>
    </w:p>
    <w:p w:rsidR="00812D0E" w:rsidRPr="00812D0E" w:rsidRDefault="00812D0E" w:rsidP="00812D0E">
      <w:pPr>
        <w:numPr>
          <w:ilvl w:val="0"/>
          <w:numId w:val="5"/>
        </w:numPr>
        <w:spacing w:after="0" w:line="332" w:lineRule="auto"/>
        <w:ind w:left="284" w:hanging="10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System: Android 5.1</w:t>
      </w:r>
      <w:r w:rsidRPr="00812D0E">
        <w:rPr>
          <w:rFonts w:ascii="Arial Narrow" w:hAnsi="Arial Narrow" w:cs="Arial"/>
          <w:i/>
          <w:sz w:val="24"/>
          <w:szCs w:val="24"/>
        </w:rPr>
        <w:t xml:space="preserve"> </w:t>
      </w:r>
    </w:p>
    <w:p w:rsidR="00812D0E" w:rsidRPr="00812D0E" w:rsidRDefault="00812D0E" w:rsidP="00812D0E">
      <w:pPr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ponadto każdy z zaoferowanych zestawów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ma zapewnić możliwość budowy robotów o różnych kształtach z użyciem co najmniej jednego silnika  w oparciu o instrukcje budowy obrazkowe lub w języku polskim,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ma pozwalać na wielokrotne przebudowywanie robota,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musi posiadać możliwość łączenie czujników i silników bez potrzeby lutowania,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>musi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63430D" w:rsidRPr="00812D0E" w:rsidRDefault="0063430D" w:rsidP="00812D0E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0A7E45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B817B9"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7 dni od daty </w:t>
      </w:r>
      <w:r w:rsidR="005707A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zawarcia umowy.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3B3AB8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dostawa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/ usługa / robota budowlana*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</w:t>
      </w:r>
    </w:p>
    <w:p w:rsidR="0063430D" w:rsidRPr="00B817B9" w:rsidRDefault="0063430D" w:rsidP="00B817B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Warunki udziału w postępowaniu* - jeśli są wymagane. </w:t>
      </w:r>
      <w:r w:rsidRPr="00B817B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Nie dotyczy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56411B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3430D" w:rsidRPr="00812D0E" w:rsidTr="000C0691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Pr="00812D0E">
              <w:rPr>
                <w:rFonts w:ascii="Arial Narrow" w:eastAsia="Arial" w:hAnsi="Arial Narrow" w:cs="Arial"/>
                <w:b/>
                <w:strike/>
                <w:color w:val="000000"/>
                <w:sz w:val="24"/>
                <w:szCs w:val="24"/>
                <w:lang w:eastAsia="pl-PL"/>
              </w:rPr>
              <w:t xml:space="preserve">pkt </w:t>
            </w: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lub %*) </w:t>
            </w:r>
          </w:p>
        </w:tc>
      </w:tr>
      <w:tr w:rsidR="0063430D" w:rsidRPr="00812D0E" w:rsidTr="000C0691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Cena/</w:t>
            </w:r>
            <w:r w:rsidRPr="00812D0E">
              <w:rPr>
                <w:rFonts w:ascii="Arial Narrow" w:eastAsia="Arial" w:hAnsi="Arial Narrow" w:cs="Arial"/>
                <w:strike/>
                <w:color w:val="000000"/>
                <w:sz w:val="24"/>
                <w:szCs w:val="24"/>
                <w:lang w:eastAsia="pl-PL"/>
              </w:rPr>
              <w:t>koszt*</w:t>
            </w: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B817B9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100 %</w:t>
            </w:r>
            <w:r w:rsidR="0063430D"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430D" w:rsidRPr="00812D0E" w:rsidTr="000C0691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817B9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Nie dotyczy </w:t>
            </w:r>
          </w:p>
        </w:tc>
      </w:tr>
    </w:tbl>
    <w:p w:rsidR="0063430D" w:rsidRPr="00812D0E" w:rsidRDefault="0063430D" w:rsidP="0063430D">
      <w:pPr>
        <w:spacing w:after="3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63430D" w:rsidRPr="00812D0E" w:rsidRDefault="0063430D" w:rsidP="0063430D">
      <w:pPr>
        <w:spacing w:after="9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Ocena ofert w kryterium „Cena/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wykonania zamówienia” zostanie dokonana według wzoru: </w:t>
      </w:r>
    </w:p>
    <w:p w:rsidR="0063430D" w:rsidRPr="00812D0E" w:rsidRDefault="0063430D" w:rsidP="0063430D">
      <w:pPr>
        <w:spacing w:after="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oferty spośród ofert niepodlegających odrzuceniu </w:t>
      </w:r>
    </w:p>
    <w:p w:rsidR="0063430D" w:rsidRPr="00812D0E" w:rsidRDefault="0063430D" w:rsidP="0063430D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106ED6D" wp14:editId="01CF1AA9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C695B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Pkt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:rsidR="0063430D" w:rsidRPr="00812D0E" w:rsidRDefault="0063430D" w:rsidP="0063430D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brutto oferty ocenianej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 kryterium 2 …. </w:t>
      </w:r>
      <w:r w:rsidR="0051264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 dotyczy </w:t>
      </w:r>
    </w:p>
    <w:p w:rsidR="0063430D" w:rsidRPr="00812D0E" w:rsidRDefault="0063430D" w:rsidP="0063430D">
      <w:pPr>
        <w:spacing w:after="18"/>
        <w:ind w:left="108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Obliczenia punktacji, zgodnie z wyżej wskazanymi kryteriami, zostaną dokonane z dokładnością do dwóch miejsc po przecinku.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sposobu obliczania ceny/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kosztu*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brutto: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B1752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koszt*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zamówienia.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 podana w ofercie musi być ceną/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kosztem*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(razem z podatkiem VAT). W formularzu oferty należy podać cenę/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3430D" w:rsidRPr="00812D0E" w:rsidRDefault="0063430D" w:rsidP="0063430D">
      <w:pPr>
        <w:spacing w:after="9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Pr="00812D0E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Formularz ofertowy stanowiący załącznik do zapytania ofertowego.</w:t>
      </w:r>
    </w:p>
    <w:p w:rsidR="0063430D" w:rsidRPr="00812D0E" w:rsidRDefault="0063430D" w:rsidP="0063430D">
      <w:pPr>
        <w:pStyle w:val="Akapitzlist"/>
        <w:spacing w:after="11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9F1083" w:rsidRDefault="0063430D" w:rsidP="00B95E1E">
      <w:pPr>
        <w:numPr>
          <w:ilvl w:val="0"/>
          <w:numId w:val="1"/>
        </w:numPr>
        <w:spacing w:after="4" w:line="255" w:lineRule="auto"/>
        <w:ind w:left="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Termin składania of</w:t>
      </w:r>
      <w:r w:rsidR="00BB1752"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erty nie później niż </w:t>
      </w:r>
      <w:r w:rsidR="00BB1752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 xml:space="preserve">do </w:t>
      </w:r>
      <w:r w:rsidR="005707A9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3</w:t>
      </w:r>
      <w:r w:rsidR="009F1083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.12.2020 do godz. 15:00</w:t>
      </w:r>
      <w:r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 xml:space="preserve"> </w:t>
      </w:r>
      <w:r w:rsidR="009F1083"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>,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jako skan oferty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/formularza ofertowego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adres: </w:t>
      </w:r>
      <w:hyperlink r:id="rId6" w:history="1">
        <w:r w:rsidR="009F1083" w:rsidRPr="009F1083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  <w:r w:rsid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lub tradycyjną pocztą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: 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Małopolskie Centrum Doskonalenia Nauczycieli, ul. Lubelska 23, 30-003 Kraków, 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9F108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zawrze umowę z wybranym Wykonawcą po przekazaniu zawiadomienia o wyborze najkorzystniejszej oferty. </w:t>
      </w:r>
    </w:p>
    <w:p w:rsidR="0063430D" w:rsidRPr="00812D0E" w:rsidRDefault="0063430D" w:rsidP="0063430D">
      <w:pPr>
        <w:spacing w:after="15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3430D" w:rsidRPr="00812D0E" w:rsidRDefault="0063430D" w:rsidP="0063430D">
      <w:pPr>
        <w:spacing w:after="1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postępowania bez podawania powodów. </w:t>
      </w:r>
    </w:p>
    <w:p w:rsidR="0063430D" w:rsidRPr="00812D0E" w:rsidRDefault="0063430D" w:rsidP="0063430D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C34D14" w:rsidRDefault="0063430D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Formularz oferty,</w:t>
      </w:r>
    </w:p>
    <w:p w:rsidR="0063430D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Opis przedmiotu zamówienia, </w:t>
      </w:r>
      <w:r w:rsidR="0063430D"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Wzór umowy, </w:t>
      </w:r>
    </w:p>
    <w:p w:rsidR="00C34D14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RODO</w:t>
      </w:r>
      <w:proofErr w:type="spellEnd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</w:p>
    <w:p w:rsidR="0063430D" w:rsidRPr="00812D0E" w:rsidRDefault="0063430D" w:rsidP="0063430D">
      <w:pPr>
        <w:spacing w:after="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Sporządził:....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Mariusz Gdowski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............, </w:t>
      </w:r>
    </w:p>
    <w:p w:rsidR="0063430D" w:rsidRPr="00812D0E" w:rsidRDefault="0063430D" w:rsidP="0063430D">
      <w:pPr>
        <w:spacing w:after="48" w:line="250" w:lineRule="auto"/>
        <w:ind w:right="4951" w:firstLine="1133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(imię i nazwisko osoby sporządzającej) </w:t>
      </w:r>
    </w:p>
    <w:p w:rsidR="0063430D" w:rsidRPr="00812D0E" w:rsidRDefault="004239C5" w:rsidP="0063430D">
      <w:pPr>
        <w:spacing w:after="0" w:line="267" w:lineRule="auto"/>
        <w:ind w:left="-1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Kraków, dnia 27.11.2020 rok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</w:p>
    <w:p w:rsidR="0063430D" w:rsidRPr="00812D0E" w:rsidRDefault="0063430D" w:rsidP="0063430D">
      <w:pPr>
        <w:spacing w:after="48" w:line="250" w:lineRule="auto"/>
        <w:ind w:left="847" w:right="850" w:hanging="10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(miejsce i data sporządzenia) </w:t>
      </w: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.............................................................................. </w:t>
      </w:r>
    </w:p>
    <w:p w:rsidR="0063430D" w:rsidRPr="00812D0E" w:rsidRDefault="0063430D" w:rsidP="0063430D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bscript"/>
        </w:rPr>
      </w:pPr>
      <w:r w:rsidRPr="00812D0E">
        <w:rPr>
          <w:rFonts w:ascii="Arial Narrow" w:hAnsi="Arial Narrow" w:cs="Arial"/>
          <w:i/>
          <w:sz w:val="24"/>
          <w:szCs w:val="24"/>
          <w:vertAlign w:val="subscript"/>
        </w:rPr>
        <w:t>(podpis kierującego komórką zamawiającą)**</w:t>
      </w:r>
    </w:p>
    <w:p w:rsidR="0063430D" w:rsidRPr="00812D0E" w:rsidRDefault="0063430D" w:rsidP="0063430D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Zatwierdził:................................................................... </w:t>
      </w:r>
    </w:p>
    <w:p w:rsidR="0063430D" w:rsidRPr="00812D0E" w:rsidRDefault="0063430D" w:rsidP="0063430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>(data i podpis Dyrektora lub osoby upoważnionej)</w:t>
      </w:r>
    </w:p>
    <w:p w:rsidR="0063430D" w:rsidRPr="00812D0E" w:rsidRDefault="0063430D" w:rsidP="0063430D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644EDC" w:rsidRPr="00812D0E" w:rsidRDefault="00644EDC" w:rsidP="0063430D">
      <w:pPr>
        <w:rPr>
          <w:rFonts w:ascii="Arial Narrow" w:hAnsi="Arial Narrow"/>
          <w:sz w:val="24"/>
          <w:szCs w:val="24"/>
        </w:rPr>
      </w:pPr>
    </w:p>
    <w:sectPr w:rsidR="00644EDC" w:rsidRPr="0081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B7A"/>
    <w:multiLevelType w:val="hybridMultilevel"/>
    <w:tmpl w:val="710AE550"/>
    <w:lvl w:ilvl="0" w:tplc="7E8894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D"/>
    <w:rsid w:val="004239C5"/>
    <w:rsid w:val="0051264A"/>
    <w:rsid w:val="005707A9"/>
    <w:rsid w:val="0063430D"/>
    <w:rsid w:val="00644EDC"/>
    <w:rsid w:val="00812D0E"/>
    <w:rsid w:val="009C116D"/>
    <w:rsid w:val="009F1083"/>
    <w:rsid w:val="00B817B9"/>
    <w:rsid w:val="00B95E1E"/>
    <w:rsid w:val="00BB1752"/>
    <w:rsid w:val="00C34D14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3038"/>
  <w15:chartTrackingRefBased/>
  <w15:docId w15:val="{CA1870CA-91FE-452A-9680-F7D708D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0D"/>
  </w:style>
  <w:style w:type="paragraph" w:styleId="Nagwek3">
    <w:name w:val="heading 3"/>
    <w:next w:val="Normalny"/>
    <w:link w:val="Nagwek3Znak"/>
    <w:uiPriority w:val="9"/>
    <w:unhideWhenUsed/>
    <w:qFormat/>
    <w:rsid w:val="0063430D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430D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34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30D"/>
    <w:rPr>
      <w:color w:val="0563C1" w:themeColor="hyperlink"/>
      <w:u w:val="single"/>
    </w:rPr>
  </w:style>
  <w:style w:type="paragraph" w:customStyle="1" w:styleId="Default">
    <w:name w:val="Default"/>
    <w:rsid w:val="00812D0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9</cp:revision>
  <dcterms:created xsi:type="dcterms:W3CDTF">2020-11-27T11:11:00Z</dcterms:created>
  <dcterms:modified xsi:type="dcterms:W3CDTF">2020-11-30T09:17:00Z</dcterms:modified>
</cp:coreProperties>
</file>