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21F0" w14:textId="1B74D79A" w:rsidR="0083472F" w:rsidRPr="00465996" w:rsidRDefault="0083472F" w:rsidP="0083472F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</w:p>
    <w:p w14:paraId="0B8BDED0" w14:textId="288DC8B9" w:rsidR="0083472F" w:rsidRDefault="00294975" w:rsidP="0083472F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8F972DA" w14:textId="77777777" w:rsidR="0083472F" w:rsidRDefault="0083472F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b w:val="0"/>
          <w:sz w:val="24"/>
          <w:szCs w:val="24"/>
        </w:rPr>
      </w:pPr>
    </w:p>
    <w:p w14:paraId="1FF4A0E2" w14:textId="2E92977F" w:rsidR="000605C3" w:rsidRPr="00284A83" w:rsidRDefault="00FE5657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Znak sprawy: WAO.230</w:t>
      </w:r>
      <w:r w:rsidR="000F1931" w:rsidRPr="00284A83">
        <w:rPr>
          <w:b w:val="0"/>
          <w:sz w:val="22"/>
          <w:szCs w:val="24"/>
        </w:rPr>
        <w:t>.1</w:t>
      </w:r>
      <w:r w:rsidR="000605C3" w:rsidRPr="00284A83">
        <w:rPr>
          <w:b w:val="0"/>
          <w:sz w:val="22"/>
          <w:szCs w:val="24"/>
        </w:rPr>
        <w:t>.2020</w:t>
      </w:r>
    </w:p>
    <w:p w14:paraId="19091779" w14:textId="37292E21" w:rsidR="009302E8" w:rsidRPr="00284A83" w:rsidRDefault="00294975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Kraków, 18</w:t>
      </w:r>
      <w:r w:rsidR="000B7702">
        <w:rPr>
          <w:b w:val="0"/>
          <w:sz w:val="22"/>
          <w:szCs w:val="24"/>
        </w:rPr>
        <w:t>.09</w:t>
      </w:r>
      <w:r w:rsidR="000605C3" w:rsidRPr="00284A83">
        <w:rPr>
          <w:b w:val="0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752370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14:paraId="5BB8A54D" w14:textId="35B06A73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2365E5" w14:textId="54ADCAFD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</w:p>
    <w:p w14:paraId="4954B9D8" w14:textId="64F06151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12 617 11 18,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9" w:history="1">
        <w:r w:rsidR="009F646D"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09CF52C5" w:rsidR="00DE4B8C" w:rsidRPr="00FE5657" w:rsidRDefault="00FE5657" w:rsidP="00FE5657">
      <w:pPr>
        <w:spacing w:after="0" w:line="269" w:lineRule="auto"/>
        <w:ind w:left="357"/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  <w:lang w:eastAsia="pl-PL"/>
        </w:rPr>
        <w:t>Dostawę</w:t>
      </w:r>
      <w:r w:rsidRPr="00E736AD">
        <w:rPr>
          <w:rFonts w:ascii="Arial" w:eastAsia="Arial" w:hAnsi="Arial" w:cs="Arial"/>
          <w:i/>
          <w:color w:val="000000"/>
          <w:lang w:eastAsia="pl-PL"/>
        </w:rPr>
        <w:t xml:space="preserve"> artykułów spożywczych dla Małopolskiego Centrum Doskonalenia Nauczycieli</w:t>
      </w:r>
    </w:p>
    <w:p w14:paraId="6F32E8BD" w14:textId="77777777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99CDDDA" w14:textId="478CD5FE" w:rsidR="00DE4B8C" w:rsidRPr="000B7702" w:rsidRDefault="000B7702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0B7702">
        <w:rPr>
          <w:rFonts w:ascii="Arial" w:eastAsia="Arial" w:hAnsi="Arial" w:cs="Arial"/>
          <w:i/>
          <w:szCs w:val="24"/>
          <w:lang w:eastAsia="pl-PL"/>
        </w:rPr>
        <w:t>Przedmiotem zamówienia jest dostawa artykułów spożywczych dla Małopolskiego Centrum Doskonalenia Nauczycieli , ul. Lubelska 23</w:t>
      </w:r>
      <w:r w:rsidR="002B24F7" w:rsidRPr="000B7702">
        <w:rPr>
          <w:rFonts w:ascii="Arial" w:eastAsia="Arial" w:hAnsi="Arial" w:cs="Arial"/>
          <w:i/>
          <w:szCs w:val="24"/>
          <w:lang w:eastAsia="pl-PL"/>
        </w:rPr>
        <w:t xml:space="preserve"> – </w:t>
      </w:r>
      <w:r w:rsidRPr="000B7702">
        <w:rPr>
          <w:rFonts w:ascii="Arial" w:eastAsia="Arial" w:hAnsi="Arial" w:cs="Arial"/>
          <w:i/>
          <w:szCs w:val="24"/>
          <w:lang w:eastAsia="pl-PL"/>
        </w:rPr>
        <w:t xml:space="preserve">zgodnie z </w:t>
      </w:r>
      <w:r w:rsidRPr="000B7702">
        <w:rPr>
          <w:rFonts w:ascii="Arial" w:eastAsia="Arial" w:hAnsi="Arial" w:cs="Arial"/>
          <w:i/>
          <w:lang w:eastAsia="pl-PL"/>
        </w:rPr>
        <w:t xml:space="preserve">warunkami określonymi we wzorze umowy – stanowiącym załącznik nr 1 do zapytania, oraz </w:t>
      </w:r>
      <w:r w:rsidR="002B24F7" w:rsidRPr="000B7702">
        <w:rPr>
          <w:rFonts w:ascii="Arial" w:eastAsia="Arial" w:hAnsi="Arial" w:cs="Arial"/>
          <w:i/>
          <w:szCs w:val="24"/>
          <w:lang w:eastAsia="pl-PL"/>
        </w:rPr>
        <w:t xml:space="preserve">zakresem cenowym i </w:t>
      </w:r>
      <w:r w:rsidR="002B24F7" w:rsidRPr="000B7702">
        <w:rPr>
          <w:rFonts w:ascii="Arial" w:eastAsia="Arial" w:hAnsi="Arial" w:cs="Arial"/>
          <w:i/>
          <w:lang w:eastAsia="pl-PL"/>
        </w:rPr>
        <w:t>iloś</w:t>
      </w:r>
      <w:r w:rsidR="00157C1F" w:rsidRPr="000B7702">
        <w:rPr>
          <w:rFonts w:ascii="Arial" w:eastAsia="Arial" w:hAnsi="Arial" w:cs="Arial"/>
          <w:i/>
          <w:lang w:eastAsia="pl-PL"/>
        </w:rPr>
        <w:t xml:space="preserve">ciowym - </w:t>
      </w:r>
      <w:r w:rsidR="002B24F7" w:rsidRPr="000B7702">
        <w:rPr>
          <w:rFonts w:ascii="Arial" w:eastAsia="Arial" w:hAnsi="Arial" w:cs="Arial"/>
          <w:i/>
          <w:lang w:eastAsia="pl-PL"/>
        </w:rPr>
        <w:t>stanowiącym załącznik nr 2</w:t>
      </w:r>
      <w:r w:rsidRPr="000B7702">
        <w:rPr>
          <w:rFonts w:ascii="Arial" w:eastAsia="Arial" w:hAnsi="Arial" w:cs="Arial"/>
          <w:i/>
          <w:lang w:eastAsia="pl-PL"/>
        </w:rPr>
        <w:t>.</w:t>
      </w:r>
      <w:r w:rsidR="002B24F7" w:rsidRPr="000B7702">
        <w:rPr>
          <w:rFonts w:ascii="Arial" w:eastAsia="Arial" w:hAnsi="Arial" w:cs="Arial"/>
          <w:i/>
          <w:lang w:eastAsia="pl-PL"/>
        </w:rPr>
        <w:t xml:space="preserve">   </w:t>
      </w:r>
    </w:p>
    <w:p w14:paraId="592A14F8" w14:textId="6547F988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FE5657">
        <w:rPr>
          <w:rFonts w:ascii="Arial" w:eastAsia="Arial" w:hAnsi="Arial" w:cs="Arial"/>
          <w:i/>
          <w:color w:val="000000"/>
          <w:lang w:eastAsia="pl-PL"/>
        </w:rPr>
        <w:t>od 31 października 2020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284A83" w:rsidRDefault="00783110" w:rsidP="00783110">
      <w:pPr>
        <w:spacing w:after="0"/>
        <w:ind w:left="720"/>
        <w:rPr>
          <w:rFonts w:ascii="Arial" w:eastAsia="Arial" w:hAnsi="Arial" w:cs="Arial"/>
          <w:color w:val="000000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DF19AE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284A83" w:rsidRDefault="00783110" w:rsidP="00157C1F">
      <w:pPr>
        <w:spacing w:after="11"/>
        <w:ind w:left="720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2FD7B3E7" w:rsidR="00783110" w:rsidRPr="00284A83" w:rsidRDefault="00783110" w:rsidP="00284A83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2940517B" w14:textId="77777777" w:rsidR="00284A83" w:rsidRDefault="00284A83" w:rsidP="00284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  <w:sectPr w:rsidR="00284A83" w:rsidSect="0083472F">
          <w:headerReference w:type="default" r:id="rId10"/>
          <w:footerReference w:type="default" r:id="rId11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 xml:space="preserve">Opis sposobu obliczania ceny/kosztu*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77777777" w:rsidR="0008794B" w:rsidRPr="00284A83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b/>
          <w:i/>
          <w:color w:val="000000"/>
          <w:szCs w:val="24"/>
          <w:lang w:eastAsia="pl-PL"/>
        </w:rPr>
        <w:t>Załącznik nr 2 – formularz cenowy</w:t>
      </w:r>
    </w:p>
    <w:p w14:paraId="021FF1D7" w14:textId="19092FC7" w:rsidR="00783110" w:rsidRPr="00284A83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>
        <w:rPr>
          <w:rFonts w:ascii="Arial" w:eastAsia="Arial" w:hAnsi="Arial" w:cs="Arial"/>
          <w:b/>
          <w:i/>
          <w:color w:val="000000"/>
          <w:szCs w:val="24"/>
          <w:lang w:eastAsia="pl-PL"/>
        </w:rPr>
        <w:t>Załącznik nr 3</w:t>
      </w:r>
      <w:r w:rsidR="0008794B" w:rsidRPr="00284A83">
        <w:rPr>
          <w:rFonts w:ascii="Arial" w:eastAsia="Arial" w:hAnsi="Arial" w:cs="Arial"/>
          <w:b/>
          <w:i/>
          <w:color w:val="000000"/>
          <w:szCs w:val="24"/>
          <w:lang w:eastAsia="pl-PL"/>
        </w:rPr>
        <w:t xml:space="preserve"> – formularz ofertowy</w:t>
      </w:r>
      <w:r w:rsidR="00202215" w:rsidRPr="00284A83">
        <w:rPr>
          <w:rFonts w:ascii="Arial" w:eastAsia="Times New Roman" w:hAnsi="Arial" w:cs="Arial"/>
          <w:b/>
          <w:i/>
          <w:color w:val="000000"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1E19DD15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E70B85">
        <w:rPr>
          <w:rFonts w:ascii="Arial" w:eastAsia="Arial" w:hAnsi="Arial" w:cs="Arial"/>
          <w:b/>
          <w:lang w:eastAsia="pl-PL"/>
        </w:rPr>
        <w:t>erty nie później niż do 23</w:t>
      </w:r>
      <w:r w:rsidR="000B7702">
        <w:rPr>
          <w:rFonts w:ascii="Arial" w:eastAsia="Arial" w:hAnsi="Arial" w:cs="Arial"/>
          <w:b/>
          <w:lang w:eastAsia="pl-PL"/>
        </w:rPr>
        <w:t>.09</w:t>
      </w:r>
      <w:r w:rsidR="0008794B" w:rsidRPr="00284A83">
        <w:rPr>
          <w:rFonts w:ascii="Arial" w:eastAsia="Arial" w:hAnsi="Arial" w:cs="Arial"/>
          <w:b/>
          <w:lang w:eastAsia="pl-PL"/>
        </w:rPr>
        <w:t xml:space="preserve">.2020 </w:t>
      </w:r>
      <w:r w:rsidRPr="00284A83">
        <w:rPr>
          <w:rFonts w:ascii="Arial" w:eastAsia="Arial" w:hAnsi="Arial" w:cs="Arial"/>
          <w:b/>
          <w:lang w:eastAsia="pl-PL"/>
        </w:rPr>
        <w:t xml:space="preserve">do godz. </w:t>
      </w:r>
      <w:r w:rsidR="0008794B" w:rsidRPr="00284A83">
        <w:rPr>
          <w:rFonts w:ascii="Arial" w:eastAsia="Arial" w:hAnsi="Arial" w:cs="Arial"/>
          <w:b/>
          <w:lang w:eastAsia="pl-PL"/>
        </w:rPr>
        <w:t>15:00</w:t>
      </w:r>
      <w:r w:rsidRPr="00284A83">
        <w:rPr>
          <w:rFonts w:ascii="Arial" w:eastAsia="Arial" w:hAnsi="Arial" w:cs="Arial"/>
          <w:lang w:eastAsia="pl-PL"/>
        </w:rPr>
        <w:t xml:space="preserve"> </w:t>
      </w:r>
    </w:p>
    <w:p w14:paraId="37834460" w14:textId="0B348B83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2" w:history="1">
        <w:r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ul. Lubelska 23, 30-003 Kraków, lub dostarczyć osobiście.</w:t>
      </w:r>
    </w:p>
    <w:p w14:paraId="16F69B2C" w14:textId="0970E735" w:rsidR="004177F9" w:rsidRPr="00284A83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701C32">
        <w:rPr>
          <w:rFonts w:ascii="Arial" w:hAnsi="Arial" w:cs="Arial"/>
          <w:i/>
          <w:color w:val="000000"/>
        </w:rPr>
        <w:t>D</w:t>
      </w:r>
      <w:r w:rsidR="00701C32" w:rsidRPr="00701C32">
        <w:rPr>
          <w:rFonts w:ascii="Arial" w:hAnsi="Arial" w:cs="Arial"/>
          <w:i/>
          <w:color w:val="000000"/>
        </w:rPr>
        <w:t xml:space="preserve">ostawa artykułów spożywczych dla Małopolskiego Centrum Doskonalenia Nauczycieli </w:t>
      </w:r>
      <w:r w:rsidRPr="00284A83">
        <w:rPr>
          <w:rFonts w:ascii="Arial" w:hAnsi="Arial" w:cs="Arial"/>
          <w:i/>
          <w:color w:val="000000"/>
        </w:rPr>
        <w:t>nr</w:t>
      </w:r>
      <w:r w:rsidR="00701C32">
        <w:rPr>
          <w:rFonts w:ascii="Arial" w:hAnsi="Arial" w:cs="Arial"/>
          <w:i/>
          <w:color w:val="000000"/>
        </w:rPr>
        <w:t> WAO.230</w:t>
      </w:r>
      <w:r w:rsidR="000F1931" w:rsidRPr="00284A83">
        <w:rPr>
          <w:rFonts w:ascii="Arial" w:hAnsi="Arial" w:cs="Arial"/>
          <w:i/>
          <w:color w:val="000000"/>
        </w:rPr>
        <w:t>.1</w:t>
      </w:r>
      <w:r w:rsidRPr="00284A83">
        <w:rPr>
          <w:rFonts w:ascii="Arial" w:hAnsi="Arial" w:cs="Arial"/>
          <w:i/>
          <w:color w:val="000000"/>
        </w:rPr>
        <w:t xml:space="preserve">.2020”. </w:t>
      </w:r>
    </w:p>
    <w:p w14:paraId="0DAB9285" w14:textId="6C6A9D33" w:rsidR="004177F9" w:rsidRPr="00284A83" w:rsidRDefault="004177F9" w:rsidP="003A7137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701C32">
        <w:rPr>
          <w:rFonts w:ascii="Arial" w:hAnsi="Arial" w:cs="Arial"/>
          <w:i/>
          <w:color w:val="000000"/>
        </w:rPr>
        <w:t>D</w:t>
      </w:r>
      <w:r w:rsidR="00701C32" w:rsidRPr="00701C32">
        <w:rPr>
          <w:rFonts w:ascii="Arial" w:hAnsi="Arial" w:cs="Arial"/>
          <w:i/>
          <w:color w:val="000000"/>
        </w:rPr>
        <w:t>ostawa artykułów spożywczych dla Małopolskiego Centrum Doskonalenia Nauczycieli</w:t>
      </w:r>
      <w:r w:rsidR="00701C32">
        <w:rPr>
          <w:rFonts w:ascii="Arial" w:hAnsi="Arial" w:cs="Arial"/>
          <w:i/>
          <w:color w:val="000000"/>
        </w:rPr>
        <w:t xml:space="preserve"> nr WAO.230</w:t>
      </w:r>
      <w:r w:rsidR="000F1931" w:rsidRPr="00284A83">
        <w:rPr>
          <w:rFonts w:ascii="Arial" w:hAnsi="Arial" w:cs="Arial"/>
          <w:i/>
          <w:color w:val="000000"/>
        </w:rPr>
        <w:t>.1</w:t>
      </w:r>
      <w:r w:rsidR="003A7137" w:rsidRPr="00284A83">
        <w:rPr>
          <w:rFonts w:ascii="Arial" w:hAnsi="Arial" w:cs="Arial"/>
          <w:i/>
          <w:color w:val="000000"/>
        </w:rPr>
        <w:t>.2020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788BDB96" w:rsidR="00783110" w:rsidRPr="00284A83" w:rsidRDefault="003A7137" w:rsidP="003A7137">
      <w:pPr>
        <w:spacing w:before="120" w:after="0" w:line="240" w:lineRule="auto"/>
        <w:ind w:left="357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77EABBE3" w14:textId="679767E3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284A83" w:rsidRDefault="00783110" w:rsidP="000605C3">
      <w:pPr>
        <w:spacing w:before="360" w:after="0" w:line="240" w:lineRule="auto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0383D17" w14:textId="6B51632D" w:rsidR="000605C3" w:rsidRPr="00284A83" w:rsidRDefault="003A7137" w:rsidP="003A7137">
      <w:pPr>
        <w:pStyle w:val="Akapitzlist"/>
        <w:numPr>
          <w:ilvl w:val="0"/>
          <w:numId w:val="18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701C32"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="00701C32"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 w:rsidR="00701C32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="00701C32"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7A5345C2" w14:textId="77777777" w:rsidR="000605C3" w:rsidRPr="00284A83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0EC88C1D" w14:textId="750E7D1C" w:rsidR="000605C3" w:rsidRPr="00701C32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0F50472D" w:rsidR="00783110" w:rsidRPr="00284A83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1A58A200" w14:textId="381CA73B" w:rsidR="00783110" w:rsidRPr="00284A83" w:rsidRDefault="00783110" w:rsidP="009302E8">
      <w:pPr>
        <w:spacing w:after="0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1DB80B4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1CE555A1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512CBF8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5D27B1B3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56D8FA3D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5D04EAAC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0ABB3A2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7B52E291" w14:textId="77777777" w:rsidR="00361A49" w:rsidRDefault="00361A49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  <w:bookmarkStart w:id="0" w:name="_GoBack"/>
      <w:bookmarkEnd w:id="0"/>
    </w:p>
    <w:p w14:paraId="76171DF2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6FE4D3C8" w14:textId="77777777" w:rsidR="00294975" w:rsidRDefault="00294975" w:rsidP="000605C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FC9E3FB" w14:textId="05BC0A53" w:rsidR="000605C3" w:rsidRPr="00361A49" w:rsidRDefault="000605C3" w:rsidP="00361A49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  <w:r w:rsidRPr="004F1E77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* należy wskazać właściwe </w:t>
      </w:r>
    </w:p>
    <w:sectPr w:rsidR="000605C3" w:rsidRPr="00361A49" w:rsidSect="0083472F">
      <w:pgSz w:w="11906" w:h="17338"/>
      <w:pgMar w:top="1344" w:right="828" w:bottom="357" w:left="1128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376B" w14:textId="77777777" w:rsidR="001B1642" w:rsidRDefault="001B1642" w:rsidP="001F6E4C">
      <w:pPr>
        <w:spacing w:after="0" w:line="240" w:lineRule="auto"/>
      </w:pPr>
      <w:r>
        <w:separator/>
      </w:r>
    </w:p>
  </w:endnote>
  <w:endnote w:type="continuationSeparator" w:id="0">
    <w:p w14:paraId="62F6C253" w14:textId="77777777" w:rsidR="001B1642" w:rsidRDefault="001B1642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242130"/>
      <w:docPartObj>
        <w:docPartGallery w:val="Page Numbers (Bottom of Page)"/>
        <w:docPartUnique/>
      </w:docPartObj>
    </w:sdtPr>
    <w:sdtEndPr/>
    <w:sdtContent>
      <w:p w14:paraId="4B2851F3" w14:textId="00A087C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A49">
          <w:rPr>
            <w:noProof/>
          </w:rPr>
          <w:t>2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C888" w14:textId="77777777" w:rsidR="001B1642" w:rsidRDefault="001B1642" w:rsidP="001F6E4C">
      <w:pPr>
        <w:spacing w:after="0" w:line="240" w:lineRule="auto"/>
      </w:pPr>
      <w:r>
        <w:separator/>
      </w:r>
    </w:p>
  </w:footnote>
  <w:footnote w:type="continuationSeparator" w:id="0">
    <w:p w14:paraId="79E44EB5" w14:textId="77777777" w:rsidR="001B1642" w:rsidRDefault="001B1642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5544"/>
    <w:rsid w:val="00C808C2"/>
    <w:rsid w:val="00C80C13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141F"/>
    <w:rsid w:val="00F9217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.nowak@mcdn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5EE5-7089-441A-802D-323229E4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4</cp:revision>
  <cp:lastPrinted>2020-09-17T08:38:00Z</cp:lastPrinted>
  <dcterms:created xsi:type="dcterms:W3CDTF">2020-09-18T10:44:00Z</dcterms:created>
  <dcterms:modified xsi:type="dcterms:W3CDTF">2020-09-18T10:46:00Z</dcterms:modified>
</cp:coreProperties>
</file>